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7" w:rsidRDefault="00F156F9" w:rsidP="00326E0A">
      <w:pPr>
        <w:ind w:firstLine="4253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CBC9D9" wp14:editId="6FB8EF99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2A">
        <w:rPr>
          <w:b/>
        </w:rPr>
        <w:t xml:space="preserve">                                                  </w:t>
      </w:r>
    </w:p>
    <w:p w:rsidR="00326E0A" w:rsidRPr="00FF39BB" w:rsidRDefault="00326E0A" w:rsidP="00326E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F39BB">
        <w:rPr>
          <w:b/>
          <w:bCs/>
          <w:spacing w:val="-2"/>
          <w:sz w:val="28"/>
          <w:szCs w:val="28"/>
        </w:rPr>
        <w:t>Российская Федерация</w:t>
      </w:r>
    </w:p>
    <w:p w:rsidR="00326E0A" w:rsidRPr="00FF39BB" w:rsidRDefault="00326E0A" w:rsidP="00326E0A">
      <w:pPr>
        <w:shd w:val="clear" w:color="auto" w:fill="FFFFFF"/>
        <w:ind w:left="91"/>
        <w:jc w:val="center"/>
        <w:rPr>
          <w:sz w:val="28"/>
          <w:szCs w:val="28"/>
        </w:rPr>
      </w:pPr>
      <w:r w:rsidRPr="00FF39BB">
        <w:rPr>
          <w:b/>
          <w:bCs/>
          <w:sz w:val="28"/>
          <w:szCs w:val="28"/>
        </w:rPr>
        <w:t>Администрация сельского поселения Каверинский сельсовет</w:t>
      </w:r>
    </w:p>
    <w:p w:rsidR="00326E0A" w:rsidRPr="00FF39BB" w:rsidRDefault="00326E0A" w:rsidP="00326E0A">
      <w:pPr>
        <w:shd w:val="clear" w:color="auto" w:fill="FFFFFF"/>
        <w:ind w:left="14"/>
        <w:jc w:val="center"/>
        <w:rPr>
          <w:sz w:val="28"/>
          <w:szCs w:val="28"/>
        </w:rPr>
      </w:pPr>
      <w:r w:rsidRPr="00FF39BB">
        <w:rPr>
          <w:b/>
          <w:bCs/>
          <w:sz w:val="28"/>
          <w:szCs w:val="28"/>
        </w:rPr>
        <w:t>Добринского муниципального района</w:t>
      </w:r>
    </w:p>
    <w:p w:rsidR="00326E0A" w:rsidRPr="00FF39BB" w:rsidRDefault="00326E0A" w:rsidP="00326E0A">
      <w:pPr>
        <w:shd w:val="clear" w:color="auto" w:fill="FFFFFF"/>
        <w:ind w:left="5"/>
        <w:jc w:val="center"/>
        <w:rPr>
          <w:sz w:val="28"/>
          <w:szCs w:val="28"/>
        </w:rPr>
      </w:pPr>
      <w:r w:rsidRPr="00FF39BB">
        <w:rPr>
          <w:b/>
          <w:bCs/>
          <w:spacing w:val="-2"/>
          <w:sz w:val="28"/>
          <w:szCs w:val="28"/>
        </w:rPr>
        <w:t xml:space="preserve">Липецкой области </w:t>
      </w:r>
    </w:p>
    <w:p w:rsidR="00326E0A" w:rsidRPr="00FF39BB" w:rsidRDefault="00326E0A" w:rsidP="00326E0A">
      <w:pPr>
        <w:shd w:val="clear" w:color="auto" w:fill="FFFFFF"/>
        <w:spacing w:before="259"/>
        <w:ind w:left="3413"/>
      </w:pPr>
      <w:r w:rsidRPr="00FF39BB">
        <w:rPr>
          <w:b/>
          <w:bCs/>
          <w:sz w:val="34"/>
          <w:szCs w:val="34"/>
        </w:rPr>
        <w:t>ПОСТАНОВЛЕНИЕ</w:t>
      </w:r>
    </w:p>
    <w:p w:rsidR="00326E0A" w:rsidRPr="00FF39BB" w:rsidRDefault="00CB3F64" w:rsidP="00326E0A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>18</w:t>
      </w:r>
      <w:r w:rsidR="00326E0A" w:rsidRPr="00FF39BB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10</w:t>
      </w:r>
      <w:r w:rsidR="00326E0A" w:rsidRPr="00FF39BB">
        <w:rPr>
          <w:spacing w:val="-7"/>
          <w:sz w:val="28"/>
          <w:szCs w:val="28"/>
        </w:rPr>
        <w:t xml:space="preserve">.2018 г.                                      </w:t>
      </w:r>
      <w:r w:rsidR="00326E0A" w:rsidRPr="00FF39BB">
        <w:rPr>
          <w:sz w:val="28"/>
          <w:szCs w:val="28"/>
        </w:rPr>
        <w:t xml:space="preserve">  </w:t>
      </w:r>
      <w:r w:rsidR="00326E0A" w:rsidRPr="00FF39BB">
        <w:rPr>
          <w:spacing w:val="-4"/>
          <w:sz w:val="28"/>
          <w:szCs w:val="28"/>
        </w:rPr>
        <w:t>с. Паршиновка</w:t>
      </w:r>
      <w:r w:rsidR="00326E0A" w:rsidRPr="00FF39BB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182</w:t>
      </w:r>
      <w:r w:rsidR="00326E0A" w:rsidRPr="00FF39BB">
        <w:rPr>
          <w:sz w:val="28"/>
          <w:szCs w:val="28"/>
        </w:rPr>
        <w:t xml:space="preserve"> </w:t>
      </w:r>
    </w:p>
    <w:p w:rsidR="00F156F9" w:rsidRPr="00C11309" w:rsidRDefault="00F156F9" w:rsidP="00F156F9">
      <w:pPr>
        <w:ind w:firstLine="4111"/>
        <w:rPr>
          <w:b/>
        </w:rPr>
      </w:pPr>
    </w:p>
    <w:p w:rsidR="002B6BBF" w:rsidRPr="002B6BBF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О</w:t>
      </w:r>
      <w:r w:rsidR="002B6BBF" w:rsidRPr="002B6BBF">
        <w:rPr>
          <w:b/>
          <w:sz w:val="28"/>
        </w:rPr>
        <w:t xml:space="preserve"> принятии</w:t>
      </w:r>
      <w:r w:rsidRPr="002B6BBF">
        <w:rPr>
          <w:b/>
          <w:sz w:val="28"/>
        </w:rPr>
        <w:t xml:space="preserve"> Порядка</w:t>
      </w:r>
    </w:p>
    <w:p w:rsidR="004355EE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разработки,</w:t>
      </w:r>
      <w:r w:rsidR="001706D7" w:rsidRPr="002B6BBF">
        <w:rPr>
          <w:b/>
          <w:sz w:val="28"/>
        </w:rPr>
        <w:t xml:space="preserve"> формирования, </w:t>
      </w:r>
      <w:r w:rsidRPr="002B6BBF">
        <w:rPr>
          <w:b/>
          <w:sz w:val="28"/>
        </w:rPr>
        <w:t>реализации и проведения оценки эффективности</w:t>
      </w:r>
      <w:r w:rsidR="001706D7" w:rsidRPr="002B6BBF">
        <w:rPr>
          <w:b/>
          <w:sz w:val="28"/>
        </w:rPr>
        <w:t xml:space="preserve"> реализации </w:t>
      </w:r>
      <w:r w:rsidRPr="002B6BBF">
        <w:rPr>
          <w:b/>
          <w:sz w:val="28"/>
        </w:rPr>
        <w:t>муниципальных программ</w:t>
      </w:r>
    </w:p>
    <w:p w:rsidR="004355EE" w:rsidRDefault="001706D7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 xml:space="preserve">сельского поселения </w:t>
      </w:r>
      <w:r w:rsidR="004355EE">
        <w:rPr>
          <w:b/>
          <w:sz w:val="28"/>
        </w:rPr>
        <w:t>Кавери</w:t>
      </w:r>
      <w:r w:rsidRPr="002B6BBF">
        <w:rPr>
          <w:b/>
          <w:sz w:val="28"/>
        </w:rPr>
        <w:t>нский сельсовет</w:t>
      </w:r>
    </w:p>
    <w:p w:rsidR="006A5DA6" w:rsidRPr="002B6BBF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Добринского</w:t>
      </w:r>
      <w:r w:rsidR="001706D7" w:rsidRPr="002B6BBF">
        <w:rPr>
          <w:b/>
          <w:sz w:val="28"/>
        </w:rPr>
        <w:t xml:space="preserve"> </w:t>
      </w:r>
      <w:r w:rsidRPr="002B6BBF">
        <w:rPr>
          <w:b/>
          <w:sz w:val="28"/>
        </w:rPr>
        <w:t>муниципального</w:t>
      </w:r>
      <w:r w:rsidR="006E7C9C" w:rsidRPr="002B6BBF">
        <w:rPr>
          <w:b/>
          <w:sz w:val="28"/>
        </w:rPr>
        <w:t xml:space="preserve"> района Липецко</w:t>
      </w:r>
      <w:r w:rsidRPr="002B6BBF">
        <w:rPr>
          <w:b/>
          <w:sz w:val="28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B770E1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770E1">
        <w:rPr>
          <w:rFonts w:ascii="Times New Roman" w:hAnsi="Times New Roman" w:cs="Times New Roman"/>
          <w:sz w:val="28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ED2ACB">
        <w:rPr>
          <w:rFonts w:ascii="Times New Roman" w:hAnsi="Times New Roman" w:cs="Times New Roman"/>
          <w:sz w:val="28"/>
          <w:szCs w:val="24"/>
        </w:rPr>
        <w:t>Кавери</w:t>
      </w:r>
      <w:r w:rsidR="001706D7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</w:p>
    <w:p w:rsidR="001706D7" w:rsidRPr="00B770E1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A5DA6" w:rsidRPr="00B770E1" w:rsidRDefault="001706D7" w:rsidP="00F91436">
      <w:pPr>
        <w:pStyle w:val="ConsPlusNormal"/>
        <w:ind w:firstLine="354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70E1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6A5DA6" w:rsidRPr="00B770E1" w:rsidRDefault="006A5DA6" w:rsidP="00ED2AC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70E1">
        <w:rPr>
          <w:rFonts w:ascii="Times New Roman" w:hAnsi="Times New Roman" w:cs="Times New Roman"/>
          <w:sz w:val="28"/>
          <w:szCs w:val="24"/>
        </w:rPr>
        <w:t xml:space="preserve">1. </w:t>
      </w:r>
      <w:r w:rsidR="00ED2ACB">
        <w:rPr>
          <w:rFonts w:ascii="Times New Roman" w:hAnsi="Times New Roman" w:cs="Times New Roman"/>
          <w:sz w:val="28"/>
          <w:szCs w:val="24"/>
        </w:rPr>
        <w:t>Приня</w:t>
      </w:r>
      <w:r w:rsidRPr="00B770E1">
        <w:rPr>
          <w:rFonts w:ascii="Times New Roman" w:hAnsi="Times New Roman" w:cs="Times New Roman"/>
          <w:sz w:val="28"/>
          <w:szCs w:val="24"/>
        </w:rPr>
        <w:t xml:space="preserve">ть прилагаемый </w:t>
      </w:r>
      <w:hyperlink w:anchor="P41" w:history="1">
        <w:r w:rsidRPr="00B770E1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B770E1">
        <w:rPr>
          <w:rFonts w:ascii="Times New Roman" w:hAnsi="Times New Roman" w:cs="Times New Roman"/>
          <w:sz w:val="28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C77416">
        <w:rPr>
          <w:rFonts w:ascii="Times New Roman" w:hAnsi="Times New Roman" w:cs="Times New Roman"/>
          <w:sz w:val="28"/>
          <w:szCs w:val="24"/>
        </w:rPr>
        <w:t>Кавери</w:t>
      </w:r>
      <w:r w:rsidR="00D2095C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  <w:r w:rsidRPr="00B770E1">
        <w:rPr>
          <w:rFonts w:ascii="Times New Roman" w:hAnsi="Times New Roman" w:cs="Times New Roman"/>
          <w:sz w:val="28"/>
          <w:szCs w:val="24"/>
        </w:rPr>
        <w:t xml:space="preserve"> Добринского муниципального </w:t>
      </w:r>
      <w:r w:rsidR="006E7C9C" w:rsidRPr="00B770E1">
        <w:rPr>
          <w:rFonts w:ascii="Times New Roman" w:hAnsi="Times New Roman" w:cs="Times New Roman"/>
          <w:sz w:val="28"/>
          <w:szCs w:val="24"/>
        </w:rPr>
        <w:t>района</w:t>
      </w:r>
      <w:r w:rsidRPr="00B770E1">
        <w:rPr>
          <w:rFonts w:ascii="Times New Roman" w:hAnsi="Times New Roman" w:cs="Times New Roman"/>
          <w:sz w:val="28"/>
          <w:szCs w:val="24"/>
        </w:rPr>
        <w:t xml:space="preserve"> Липецкой области.</w:t>
      </w:r>
    </w:p>
    <w:p w:rsidR="006A5DA6" w:rsidRPr="00B770E1" w:rsidRDefault="006A5DA6" w:rsidP="0019281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70E1">
        <w:rPr>
          <w:rFonts w:ascii="Times New Roman" w:hAnsi="Times New Roman" w:cs="Times New Roman"/>
          <w:sz w:val="28"/>
          <w:szCs w:val="24"/>
        </w:rPr>
        <w:t xml:space="preserve">2. </w:t>
      </w:r>
      <w:hyperlink r:id="rId9" w:history="1">
        <w:r w:rsidRPr="00B770E1">
          <w:rPr>
            <w:rFonts w:ascii="Times New Roman" w:hAnsi="Times New Roman" w:cs="Times New Roman"/>
            <w:sz w:val="28"/>
            <w:szCs w:val="24"/>
          </w:rPr>
          <w:t>Постановление</w:t>
        </w:r>
      </w:hyperlink>
      <w:r w:rsidRPr="00B770E1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192813">
        <w:rPr>
          <w:rFonts w:ascii="Times New Roman" w:hAnsi="Times New Roman" w:cs="Times New Roman"/>
          <w:sz w:val="28"/>
          <w:szCs w:val="24"/>
        </w:rPr>
        <w:t>Кавери</w:t>
      </w:r>
      <w:r w:rsidR="00D2095C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  <w:r w:rsidRPr="00B770E1">
        <w:rPr>
          <w:rFonts w:ascii="Times New Roman" w:hAnsi="Times New Roman" w:cs="Times New Roman"/>
          <w:sz w:val="28"/>
          <w:szCs w:val="24"/>
        </w:rPr>
        <w:t xml:space="preserve"> Добринского муниципального </w:t>
      </w:r>
      <w:r w:rsidR="00192813">
        <w:rPr>
          <w:rFonts w:ascii="Times New Roman" w:hAnsi="Times New Roman" w:cs="Times New Roman"/>
          <w:sz w:val="28"/>
          <w:szCs w:val="24"/>
        </w:rPr>
        <w:t>района</w:t>
      </w:r>
      <w:r w:rsidRPr="00B770E1">
        <w:rPr>
          <w:rFonts w:ascii="Times New Roman" w:hAnsi="Times New Roman" w:cs="Times New Roman"/>
          <w:sz w:val="28"/>
          <w:szCs w:val="24"/>
        </w:rPr>
        <w:t xml:space="preserve"> Липецкой области  от </w:t>
      </w:r>
      <w:r w:rsidR="00D2095C" w:rsidRPr="00B770E1">
        <w:rPr>
          <w:rFonts w:ascii="Times New Roman" w:hAnsi="Times New Roman" w:cs="Times New Roman"/>
          <w:sz w:val="28"/>
          <w:szCs w:val="24"/>
        </w:rPr>
        <w:t>1</w:t>
      </w:r>
      <w:r w:rsidR="00645629">
        <w:rPr>
          <w:rFonts w:ascii="Times New Roman" w:hAnsi="Times New Roman" w:cs="Times New Roman"/>
          <w:sz w:val="28"/>
          <w:szCs w:val="24"/>
        </w:rPr>
        <w:t>6</w:t>
      </w:r>
      <w:r w:rsidRPr="00B770E1">
        <w:rPr>
          <w:rFonts w:ascii="Times New Roman" w:hAnsi="Times New Roman" w:cs="Times New Roman"/>
          <w:sz w:val="28"/>
          <w:szCs w:val="24"/>
        </w:rPr>
        <w:t xml:space="preserve"> </w:t>
      </w:r>
      <w:r w:rsidR="00D2095C" w:rsidRPr="00B770E1">
        <w:rPr>
          <w:rFonts w:ascii="Times New Roman" w:hAnsi="Times New Roman" w:cs="Times New Roman"/>
          <w:sz w:val="28"/>
          <w:szCs w:val="24"/>
        </w:rPr>
        <w:t>сентября 2013</w:t>
      </w:r>
      <w:r w:rsidRPr="00B770E1">
        <w:rPr>
          <w:rFonts w:ascii="Times New Roman" w:hAnsi="Times New Roman" w:cs="Times New Roman"/>
          <w:sz w:val="28"/>
          <w:szCs w:val="24"/>
        </w:rPr>
        <w:t xml:space="preserve"> года </w:t>
      </w:r>
      <w:r w:rsidR="00D2095C" w:rsidRPr="00B770E1">
        <w:rPr>
          <w:rFonts w:ascii="Times New Roman" w:hAnsi="Times New Roman" w:cs="Times New Roman"/>
          <w:sz w:val="28"/>
          <w:szCs w:val="24"/>
        </w:rPr>
        <w:t>№</w:t>
      </w:r>
      <w:r w:rsidRPr="00B770E1">
        <w:rPr>
          <w:rFonts w:ascii="Times New Roman" w:hAnsi="Times New Roman" w:cs="Times New Roman"/>
          <w:sz w:val="28"/>
          <w:szCs w:val="24"/>
        </w:rPr>
        <w:t xml:space="preserve"> </w:t>
      </w:r>
      <w:r w:rsidR="00645629">
        <w:rPr>
          <w:rFonts w:ascii="Times New Roman" w:hAnsi="Times New Roman" w:cs="Times New Roman"/>
          <w:sz w:val="28"/>
          <w:szCs w:val="24"/>
        </w:rPr>
        <w:t>39</w:t>
      </w:r>
      <w:r w:rsidRPr="00B770E1">
        <w:rPr>
          <w:rFonts w:ascii="Times New Roman" w:hAnsi="Times New Roman" w:cs="Times New Roman"/>
          <w:sz w:val="28"/>
          <w:szCs w:val="24"/>
        </w:rPr>
        <w:t xml:space="preserve"> "Об утверждении Порядка разработки, реализации и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проведения</w:t>
      </w:r>
      <w:r w:rsidRPr="00B770E1">
        <w:rPr>
          <w:rFonts w:ascii="Times New Roman" w:hAnsi="Times New Roman" w:cs="Times New Roman"/>
          <w:sz w:val="28"/>
          <w:szCs w:val="24"/>
        </w:rPr>
        <w:t xml:space="preserve"> оценки эффективности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реализации</w:t>
      </w:r>
      <w:r w:rsidRPr="00B770E1">
        <w:rPr>
          <w:rFonts w:ascii="Times New Roman" w:hAnsi="Times New Roman" w:cs="Times New Roman"/>
          <w:sz w:val="28"/>
          <w:szCs w:val="24"/>
        </w:rPr>
        <w:t xml:space="preserve"> муниципальных программ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192813">
        <w:rPr>
          <w:rFonts w:ascii="Times New Roman" w:hAnsi="Times New Roman" w:cs="Times New Roman"/>
          <w:sz w:val="28"/>
          <w:szCs w:val="24"/>
        </w:rPr>
        <w:t>Кавери</w:t>
      </w:r>
      <w:r w:rsidR="00D2095C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  <w:r w:rsidRPr="00B770E1">
        <w:rPr>
          <w:rFonts w:ascii="Times New Roman" w:hAnsi="Times New Roman" w:cs="Times New Roman"/>
          <w:sz w:val="28"/>
          <w:szCs w:val="24"/>
        </w:rPr>
        <w:t xml:space="preserve"> Добринского муниципального </w:t>
      </w:r>
      <w:r w:rsidR="006E7C9C" w:rsidRPr="00B770E1">
        <w:rPr>
          <w:rFonts w:ascii="Times New Roman" w:hAnsi="Times New Roman" w:cs="Times New Roman"/>
          <w:sz w:val="28"/>
          <w:szCs w:val="24"/>
        </w:rPr>
        <w:t>района</w:t>
      </w:r>
      <w:r w:rsidRPr="00B770E1">
        <w:rPr>
          <w:rFonts w:ascii="Times New Roman" w:hAnsi="Times New Roman" w:cs="Times New Roman"/>
          <w:sz w:val="28"/>
          <w:szCs w:val="24"/>
        </w:rPr>
        <w:t xml:space="preserve"> Липецкой области"  признать утратившим силу</w:t>
      </w:r>
      <w:r w:rsidR="00557E74" w:rsidRPr="00B770E1">
        <w:rPr>
          <w:rFonts w:ascii="Times New Roman" w:hAnsi="Times New Roman" w:cs="Times New Roman"/>
          <w:sz w:val="28"/>
          <w:szCs w:val="24"/>
        </w:rPr>
        <w:t xml:space="preserve"> с 1 января 2019 года</w:t>
      </w:r>
      <w:r w:rsidRPr="00B770E1">
        <w:rPr>
          <w:rFonts w:ascii="Times New Roman" w:hAnsi="Times New Roman" w:cs="Times New Roman"/>
          <w:sz w:val="28"/>
          <w:szCs w:val="24"/>
        </w:rPr>
        <w:t>.</w:t>
      </w:r>
    </w:p>
    <w:p w:rsidR="00A73DD6" w:rsidRDefault="00A73DD6" w:rsidP="00192813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54C3A" w:rsidRPr="00B770E1" w:rsidRDefault="00954C3A" w:rsidP="0019281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B770E1">
        <w:rPr>
          <w:sz w:val="28"/>
        </w:rPr>
        <w:t>3</w:t>
      </w:r>
      <w:r w:rsidR="006A5DA6" w:rsidRPr="00B770E1">
        <w:rPr>
          <w:sz w:val="28"/>
        </w:rPr>
        <w:t xml:space="preserve">. Настоящее </w:t>
      </w:r>
      <w:r w:rsidR="006A5DA6" w:rsidRPr="00B770E1">
        <w:rPr>
          <w:color w:val="000000" w:themeColor="text1"/>
          <w:sz w:val="28"/>
        </w:rPr>
        <w:t xml:space="preserve">постановление вступает в силу </w:t>
      </w:r>
      <w:r w:rsidRPr="00B770E1">
        <w:rPr>
          <w:rFonts w:eastAsiaTheme="minorHAnsi"/>
          <w:sz w:val="28"/>
          <w:lang w:eastAsia="en-US"/>
        </w:rPr>
        <w:t xml:space="preserve">со дня его официального </w:t>
      </w:r>
      <w:r w:rsidR="00A7618E" w:rsidRPr="00B770E1">
        <w:rPr>
          <w:rFonts w:eastAsiaTheme="minorHAnsi"/>
          <w:sz w:val="28"/>
          <w:lang w:eastAsia="en-US"/>
        </w:rPr>
        <w:t>обнародования</w:t>
      </w:r>
      <w:r w:rsidRPr="00B770E1">
        <w:rPr>
          <w:rFonts w:eastAsiaTheme="minorHAnsi"/>
          <w:sz w:val="28"/>
          <w:lang w:eastAsia="en-US"/>
        </w:rPr>
        <w:t xml:space="preserve"> и распространяется на правоотношения</w:t>
      </w:r>
      <w:r w:rsidR="00370433" w:rsidRPr="00B770E1">
        <w:rPr>
          <w:rFonts w:eastAsiaTheme="minorHAnsi"/>
          <w:sz w:val="28"/>
          <w:lang w:eastAsia="en-US"/>
        </w:rPr>
        <w:t>,</w:t>
      </w:r>
      <w:r w:rsidRPr="00B770E1">
        <w:rPr>
          <w:rFonts w:eastAsiaTheme="minorHAnsi"/>
          <w:sz w:val="28"/>
          <w:lang w:eastAsia="en-US"/>
        </w:rPr>
        <w:t xml:space="preserve"> </w:t>
      </w:r>
      <w:r w:rsidR="00671831" w:rsidRPr="00B770E1">
        <w:rPr>
          <w:rFonts w:eastAsiaTheme="minorHAnsi"/>
          <w:sz w:val="28"/>
          <w:lang w:eastAsia="en-US"/>
        </w:rPr>
        <w:t>возникающи</w:t>
      </w:r>
      <w:r w:rsidR="005305B5" w:rsidRPr="00B770E1">
        <w:rPr>
          <w:rFonts w:eastAsiaTheme="minorHAnsi"/>
          <w:sz w:val="28"/>
          <w:lang w:eastAsia="en-US"/>
        </w:rPr>
        <w:t>е</w:t>
      </w:r>
      <w:r w:rsidR="00671831" w:rsidRPr="00B770E1">
        <w:rPr>
          <w:rFonts w:eastAsiaTheme="minorHAnsi"/>
          <w:sz w:val="28"/>
          <w:lang w:eastAsia="en-US"/>
        </w:rPr>
        <w:t xml:space="preserve"> при составлении и исполнении бюджета </w:t>
      </w:r>
      <w:r w:rsidR="00A7618E" w:rsidRPr="00B770E1">
        <w:rPr>
          <w:rFonts w:eastAsiaTheme="minorHAnsi"/>
          <w:sz w:val="28"/>
          <w:lang w:eastAsia="en-US"/>
        </w:rPr>
        <w:t xml:space="preserve">сельского поселения </w:t>
      </w:r>
      <w:r w:rsidR="00A73DD6">
        <w:rPr>
          <w:rFonts w:eastAsiaTheme="minorHAnsi"/>
          <w:sz w:val="28"/>
          <w:lang w:eastAsia="en-US"/>
        </w:rPr>
        <w:t>Кавери</w:t>
      </w:r>
      <w:r w:rsidR="00A7618E" w:rsidRPr="00B770E1">
        <w:rPr>
          <w:rFonts w:eastAsiaTheme="minorHAnsi"/>
          <w:sz w:val="28"/>
          <w:lang w:eastAsia="en-US"/>
        </w:rPr>
        <w:t xml:space="preserve">нский сельсовет </w:t>
      </w:r>
      <w:r w:rsidR="00671831" w:rsidRPr="00B770E1">
        <w:rPr>
          <w:rFonts w:eastAsiaTheme="minorHAnsi"/>
          <w:sz w:val="28"/>
          <w:lang w:eastAsia="en-US"/>
        </w:rPr>
        <w:t xml:space="preserve">Добринского муниципального </w:t>
      </w:r>
      <w:r w:rsidR="006E7C9C" w:rsidRPr="00B770E1">
        <w:rPr>
          <w:rFonts w:eastAsiaTheme="minorHAnsi"/>
          <w:sz w:val="28"/>
          <w:lang w:eastAsia="en-US"/>
        </w:rPr>
        <w:t>района</w:t>
      </w:r>
      <w:r w:rsidR="00671831" w:rsidRPr="00B770E1">
        <w:rPr>
          <w:rFonts w:eastAsiaTheme="minorHAnsi"/>
          <w:sz w:val="28"/>
          <w:lang w:eastAsia="en-US"/>
        </w:rPr>
        <w:t xml:space="preserve"> </w:t>
      </w:r>
      <w:r w:rsidRPr="00B770E1">
        <w:rPr>
          <w:rFonts w:eastAsiaTheme="minorHAnsi"/>
          <w:sz w:val="28"/>
          <w:lang w:eastAsia="en-US"/>
        </w:rPr>
        <w:t>начиная с 1 января 2019 года.</w:t>
      </w:r>
    </w:p>
    <w:p w:rsidR="006A5DA6" w:rsidRPr="00B770E1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Каверинский сельсовет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 </w:t>
      </w:r>
      <w:r w:rsidR="00A73DD6">
        <w:rPr>
          <w:rFonts w:ascii="Times New Roman" w:hAnsi="Times New Roman"/>
          <w:b/>
          <w:sz w:val="28"/>
          <w:szCs w:val="28"/>
        </w:rPr>
        <w:t xml:space="preserve">      </w:t>
      </w:r>
      <w:r w:rsidRPr="0050072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606FB">
        <w:rPr>
          <w:rFonts w:ascii="Times New Roman" w:hAnsi="Times New Roman"/>
          <w:b/>
          <w:sz w:val="28"/>
          <w:szCs w:val="28"/>
        </w:rPr>
        <w:t>Д.И. Ширяев</w:t>
      </w:r>
    </w:p>
    <w:p w:rsidR="00A7618E" w:rsidRPr="00B770E1" w:rsidRDefault="00A7618E" w:rsidP="006A5DA6">
      <w:pPr>
        <w:jc w:val="both"/>
        <w:rPr>
          <w:sz w:val="28"/>
          <w:szCs w:val="25"/>
        </w:rPr>
      </w:pPr>
    </w:p>
    <w:p w:rsidR="00CE1CF5" w:rsidRDefault="006A5DA6" w:rsidP="00B770E1">
      <w:pPr>
        <w:jc w:val="right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B64EE6" w:rsidRDefault="00A7618E" w:rsidP="00B770E1">
      <w:pPr>
        <w:jc w:val="right"/>
      </w:pPr>
      <w:r w:rsidRPr="00B64EE6">
        <w:lastRenderedPageBreak/>
        <w:t>П</w:t>
      </w:r>
      <w:r w:rsidR="006A5DA6" w:rsidRPr="00B64EE6">
        <w:t>риложение</w:t>
      </w:r>
    </w:p>
    <w:p w:rsidR="00A7618E" w:rsidRPr="00B64EE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Pr="00B64EE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7E70" w:rsidRPr="00B64EE6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0757" w:rsidRPr="00B64EE6">
        <w:rPr>
          <w:rFonts w:ascii="Times New Roman" w:hAnsi="Times New Roman" w:cs="Times New Roman"/>
          <w:sz w:val="24"/>
          <w:szCs w:val="24"/>
        </w:rPr>
        <w:t>Кавери</w:t>
      </w:r>
      <w:r w:rsidRPr="00B64EE6">
        <w:rPr>
          <w:rFonts w:ascii="Times New Roman" w:hAnsi="Times New Roman" w:cs="Times New Roman"/>
          <w:sz w:val="24"/>
          <w:szCs w:val="24"/>
        </w:rPr>
        <w:t>нский сельсовет</w:t>
      </w:r>
      <w:r w:rsidR="006A5DA6" w:rsidRPr="00B6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B64EE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Добринского</w:t>
      </w:r>
      <w:r w:rsidR="00977E70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Pr="00B64E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7C9C" w:rsidRPr="00B64EE6">
        <w:rPr>
          <w:rFonts w:ascii="Times New Roman" w:hAnsi="Times New Roman" w:cs="Times New Roman"/>
          <w:sz w:val="24"/>
          <w:szCs w:val="24"/>
        </w:rPr>
        <w:t>района</w:t>
      </w:r>
    </w:p>
    <w:p w:rsidR="00A7618E" w:rsidRPr="00B64EE6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77E70" w:rsidRPr="00B64EE6" w:rsidRDefault="00580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о</w:t>
      </w:r>
      <w:r w:rsidR="00977E70" w:rsidRPr="00B64EE6">
        <w:rPr>
          <w:rFonts w:ascii="Times New Roman" w:hAnsi="Times New Roman" w:cs="Times New Roman"/>
          <w:sz w:val="24"/>
          <w:szCs w:val="24"/>
        </w:rPr>
        <w:t>т</w:t>
      </w:r>
      <w:r w:rsidR="00A7618E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="007606FB">
        <w:rPr>
          <w:rFonts w:ascii="Times New Roman" w:hAnsi="Times New Roman" w:cs="Times New Roman"/>
          <w:sz w:val="24"/>
          <w:szCs w:val="24"/>
        </w:rPr>
        <w:t>18</w:t>
      </w:r>
      <w:r w:rsidR="00A7618E" w:rsidRPr="00B64EE6">
        <w:rPr>
          <w:rFonts w:ascii="Times New Roman" w:hAnsi="Times New Roman" w:cs="Times New Roman"/>
          <w:sz w:val="24"/>
          <w:szCs w:val="24"/>
        </w:rPr>
        <w:t xml:space="preserve">.10.2018г. </w:t>
      </w:r>
      <w:r w:rsidR="00977E70" w:rsidRPr="00B64EE6">
        <w:rPr>
          <w:rFonts w:ascii="Times New Roman" w:hAnsi="Times New Roman" w:cs="Times New Roman"/>
          <w:sz w:val="24"/>
          <w:szCs w:val="24"/>
        </w:rPr>
        <w:t>№</w:t>
      </w:r>
      <w:r w:rsidR="00A7618E" w:rsidRPr="00B64EE6">
        <w:rPr>
          <w:rFonts w:ascii="Times New Roman" w:hAnsi="Times New Roman" w:cs="Times New Roman"/>
          <w:sz w:val="24"/>
          <w:szCs w:val="24"/>
        </w:rPr>
        <w:t>1</w:t>
      </w:r>
      <w:r w:rsidR="007606FB">
        <w:rPr>
          <w:rFonts w:ascii="Times New Roman" w:hAnsi="Times New Roman" w:cs="Times New Roman"/>
          <w:sz w:val="24"/>
          <w:szCs w:val="24"/>
        </w:rPr>
        <w:t>82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3429">
        <w:rPr>
          <w:rFonts w:ascii="Times New Roman" w:hAnsi="Times New Roman" w:cs="Times New Roman"/>
          <w:sz w:val="24"/>
          <w:szCs w:val="24"/>
        </w:rPr>
        <w:t>КАВЕРИ</w:t>
      </w:r>
      <w:r>
        <w:rPr>
          <w:rFonts w:ascii="Times New Roman" w:hAnsi="Times New Roman" w:cs="Times New Roman"/>
          <w:sz w:val="24"/>
          <w:szCs w:val="24"/>
        </w:rPr>
        <w:t>НСКИЙ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4988">
        <w:rPr>
          <w:rFonts w:ascii="Times New Roman" w:hAnsi="Times New Roman" w:cs="Times New Roman"/>
          <w:sz w:val="24"/>
          <w:szCs w:val="24"/>
        </w:rPr>
        <w:t>Кавери</w:t>
      </w:r>
      <w:r w:rsidR="00A7618E">
        <w:rPr>
          <w:rFonts w:ascii="Times New Roman" w:hAnsi="Times New Roman" w:cs="Times New Roman"/>
          <w:sz w:val="24"/>
          <w:szCs w:val="24"/>
        </w:rPr>
        <w:t xml:space="preserve">нский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4988">
        <w:rPr>
          <w:rFonts w:ascii="Times New Roman" w:hAnsi="Times New Roman" w:cs="Times New Roman"/>
          <w:sz w:val="24"/>
          <w:szCs w:val="24"/>
        </w:rPr>
        <w:t>Кавери</w:t>
      </w:r>
      <w:r w:rsidR="00A7618E">
        <w:rPr>
          <w:rFonts w:ascii="Times New Roman" w:hAnsi="Times New Roman" w:cs="Times New Roman"/>
          <w:sz w:val="24"/>
          <w:szCs w:val="24"/>
        </w:rPr>
        <w:t>нский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4988">
        <w:rPr>
          <w:rFonts w:ascii="Times New Roman" w:hAnsi="Times New Roman" w:cs="Times New Roman"/>
          <w:sz w:val="24"/>
          <w:szCs w:val="24"/>
        </w:rPr>
        <w:t>Кавери</w:t>
      </w:r>
      <w:r w:rsidR="00A7618E">
        <w:rPr>
          <w:rFonts w:ascii="Times New Roman" w:hAnsi="Times New Roman" w:cs="Times New Roman"/>
          <w:sz w:val="24"/>
          <w:szCs w:val="24"/>
        </w:rPr>
        <w:t>н</w:t>
      </w:r>
      <w:r w:rsidR="00BC4988">
        <w:rPr>
          <w:rFonts w:ascii="Times New Roman" w:hAnsi="Times New Roman" w:cs="Times New Roman"/>
          <w:sz w:val="24"/>
          <w:szCs w:val="24"/>
        </w:rPr>
        <w:t>с</w:t>
      </w:r>
      <w:r w:rsidR="00A7618E">
        <w:rPr>
          <w:rFonts w:ascii="Times New Roman" w:hAnsi="Times New Roman" w:cs="Times New Roman"/>
          <w:sz w:val="24"/>
          <w:szCs w:val="24"/>
        </w:rPr>
        <w:t>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BC4988">
        <w:rPr>
          <w:szCs w:val="28"/>
        </w:rPr>
        <w:t>Кавери</w:t>
      </w:r>
      <w:r>
        <w:rPr>
          <w:szCs w:val="28"/>
        </w:rPr>
        <w:t>нский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4988">
        <w:rPr>
          <w:rFonts w:ascii="Times New Roman" w:hAnsi="Times New Roman" w:cs="Times New Roman"/>
          <w:sz w:val="24"/>
          <w:szCs w:val="24"/>
        </w:rPr>
        <w:t>Кавери</w:t>
      </w:r>
      <w:r w:rsidR="00464591">
        <w:rPr>
          <w:rFonts w:ascii="Times New Roman" w:hAnsi="Times New Roman" w:cs="Times New Roman"/>
          <w:sz w:val="24"/>
          <w:szCs w:val="24"/>
        </w:rPr>
        <w:t>нский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6469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13A1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</w:t>
      </w:r>
      <w:r w:rsidR="000253A6" w:rsidRPr="000253A6">
        <w:lastRenderedPageBreak/>
        <w:t>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проект муниципальной программы</w:t>
      </w:r>
      <w:r w:rsidRPr="000253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4 пункта </w:t>
        </w:r>
        <w:r w:rsidR="006A5DA6" w:rsidRPr="000678E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B961BC" w:rsidRDefault="00B961BC" w:rsidP="00B961BC">
      <w:pPr>
        <w:ind w:firstLine="709"/>
        <w:jc w:val="both"/>
      </w:pPr>
      <w:bookmarkStart w:id="11" w:name="P177"/>
      <w:bookmarkEnd w:id="11"/>
      <w:r>
        <w:t>17</w:t>
      </w:r>
      <w:r w:rsidR="006A5DA6" w:rsidRPr="006A5DA6">
        <w:t xml:space="preserve">. </w:t>
      </w:r>
      <w:r w:rsidRPr="00B961BC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94010E">
        <w:t>Кавери</w:t>
      </w:r>
      <w:r>
        <w:t>нский</w:t>
      </w:r>
      <w:r w:rsidRPr="00B961BC">
        <w:t xml:space="preserve"> сельсовет </w:t>
      </w:r>
      <w:r>
        <w:t>Добринского</w:t>
      </w:r>
      <w:r w:rsidRPr="00B961BC">
        <w:t xml:space="preserve"> муниципального района Липецкой области Российской Федерации, утвержденным постановлением администрации</w:t>
      </w:r>
      <w:r>
        <w:t xml:space="preserve"> сельского</w:t>
      </w:r>
      <w:r w:rsidRPr="00B961BC">
        <w:t xml:space="preserve"> поселения. 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7"/>
      <w:bookmarkStart w:id="13" w:name="P193"/>
      <w:bookmarkEnd w:id="12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7E3570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9"/>
      <w:bookmarkEnd w:id="14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9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440A8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440A86" w:rsidRPr="00440A86">
        <w:rPr>
          <w:rFonts w:ascii="Times New Roman" w:hAnsi="Times New Roman" w:cs="Times New Roman"/>
          <w:sz w:val="24"/>
          <w:szCs w:val="24"/>
        </w:rPr>
        <w:t>1</w:t>
      </w:r>
      <w:r w:rsidRPr="00440A8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предложения по дальнейшей реализации муниципальной программы и их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16"/>
      <w:bookmarkEnd w:id="16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9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5"/>
      <w:bookmarkEnd w:id="18"/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828" w:rsidRDefault="0050582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505828" w:rsidRDefault="0050582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580757" w:rsidRDefault="0058075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7517B9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535"/>
      </w:tblGrid>
      <w:tr w:rsidR="006A5DA6" w:rsidRPr="006A5DA6" w:rsidTr="007517B9">
        <w:tc>
          <w:tcPr>
            <w:tcW w:w="531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7517B9">
        <w:tc>
          <w:tcPr>
            <w:tcW w:w="5312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4A" w:rsidRDefault="00CD784A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517B9" w:rsidRDefault="007517B9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693D5F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59"/>
      <w:bookmarkEnd w:id="20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776"/>
        <w:gridCol w:w="709"/>
        <w:gridCol w:w="709"/>
        <w:gridCol w:w="709"/>
      </w:tblGrid>
      <w:tr w:rsidR="006A5DA6" w:rsidRPr="006A5DA6" w:rsidTr="00BC1CB1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68"/>
            <w:bookmarkEnd w:id="2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7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 w:rsidTr="00BC1CB1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BC1CB1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C1CB1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6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35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случае,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4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48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C1CB1" w:rsidRDefault="00BC1CB1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5605F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679"/>
      <w:bookmarkEnd w:id="25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923"/>
        <w:gridCol w:w="1077"/>
        <w:gridCol w:w="1020"/>
        <w:gridCol w:w="964"/>
      </w:tblGrid>
      <w:tr w:rsidR="006A5DA6" w:rsidRPr="006A5DA6" w:rsidTr="004D0CB4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923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 w:rsidTr="004D0CB4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 w:rsidTr="004D0CB4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923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4D0CB4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2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0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D0CB4" w:rsidRDefault="004D0CB4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873A2F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32"/>
      <w:bookmarkEnd w:id="27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797"/>
        <w:gridCol w:w="737"/>
        <w:gridCol w:w="737"/>
        <w:gridCol w:w="737"/>
        <w:gridCol w:w="624"/>
        <w:gridCol w:w="2154"/>
      </w:tblGrid>
      <w:tr w:rsidR="006A5DA6" w:rsidRPr="006A5DA6" w:rsidTr="00873A2F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9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 w:rsidTr="00873A2F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797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3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41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0DB" w:rsidRDefault="002970DB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970DB" w:rsidRDefault="002970DB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873A2F" w:rsidRDefault="00873A2F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873A2F" w:rsidRDefault="00873A2F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A4244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960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4535"/>
      </w:tblGrid>
      <w:tr w:rsidR="006A5DA6" w:rsidRPr="006A5DA6" w:rsidTr="00873A2F">
        <w:tc>
          <w:tcPr>
            <w:tcW w:w="5104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873A2F">
        <w:tc>
          <w:tcPr>
            <w:tcW w:w="51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517220">
          <w:pgSz w:w="11905" w:h="16838"/>
          <w:pgMar w:top="568" w:right="850" w:bottom="709" w:left="1276" w:header="0" w:footer="0" w:gutter="0"/>
          <w:cols w:space="720"/>
          <w:docGrid w:linePitch="326"/>
        </w:sect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6A5C9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6A5C91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Кавери</w:t>
      </w:r>
      <w:r w:rsidR="00BA78A7">
        <w:rPr>
          <w:sz w:val="20"/>
          <w:szCs w:val="28"/>
        </w:rPr>
        <w:t>нский</w:t>
      </w: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муниципального района</w:t>
      </w:r>
      <w:r w:rsidR="006A5C91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08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2051"/>
        <w:gridCol w:w="1729"/>
        <w:gridCol w:w="1843"/>
      </w:tblGrid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A4244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0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предусмотренных    планом   реализации, возможно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93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6A5C91">
          <w:pgSz w:w="16838" w:h="11905" w:orient="landscape"/>
          <w:pgMar w:top="993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92019B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Кавери</w:t>
      </w:r>
      <w:r w:rsidR="002C507C">
        <w:rPr>
          <w:sz w:val="20"/>
          <w:szCs w:val="28"/>
        </w:rPr>
        <w:t>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211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9"/>
        <w:gridCol w:w="2551"/>
        <w:gridCol w:w="850"/>
        <w:gridCol w:w="907"/>
        <w:gridCol w:w="794"/>
        <w:gridCol w:w="1135"/>
        <w:gridCol w:w="992"/>
        <w:gridCol w:w="1417"/>
        <w:gridCol w:w="11"/>
        <w:gridCol w:w="2116"/>
        <w:gridCol w:w="11"/>
      </w:tblGrid>
      <w:tr w:rsidR="006A5DA6" w:rsidRPr="006A5DA6" w:rsidTr="0092019B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2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5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gridSpan w:val="2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gridSpan w:val="2"/>
          </w:tcPr>
          <w:p w:rsidR="006A5DA6" w:rsidRPr="006A5DA6" w:rsidRDefault="006A5DA6"/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3129" w:type="dxa"/>
            <w:vMerge/>
          </w:tcPr>
          <w:p w:rsidR="006A5DA6" w:rsidRPr="006A5DA6" w:rsidRDefault="006A5DA6"/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92019B">
        <w:trPr>
          <w:gridAfter w:val="1"/>
          <w:wAfter w:w="11" w:type="dxa"/>
        </w:trPr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390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92019B">
          <w:pgSz w:w="16838" w:h="11905" w:orient="landscape"/>
          <w:pgMar w:top="993" w:right="820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440F48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418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980"/>
        <w:gridCol w:w="1304"/>
        <w:gridCol w:w="1020"/>
        <w:gridCol w:w="1077"/>
      </w:tblGrid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8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 w:rsidTr="00C777B0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C777B0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621F1" w:rsidRDefault="001621F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777B0" w:rsidRDefault="00C777B0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777B0" w:rsidRDefault="00C777B0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777B0" w:rsidRDefault="00C777B0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777B0" w:rsidRDefault="00C777B0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777B0" w:rsidRDefault="00C777B0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1621F1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583"/>
      <w:bookmarkEnd w:id="3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4387"/>
        <w:gridCol w:w="1361"/>
        <w:gridCol w:w="1531"/>
      </w:tblGrid>
      <w:tr w:rsidR="006A5DA6" w:rsidRPr="006A5DA6" w:rsidTr="00BB1000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38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 w:rsidTr="00BB1000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:rsidTr="00BB1000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BB1000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8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15"/>
      <w:bookmarkEnd w:id="3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781F06">
          <w:pgSz w:w="11905" w:h="16838"/>
          <w:pgMar w:top="709" w:right="850" w:bottom="709" w:left="1134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630245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Кавери</w:t>
      </w:r>
      <w:r w:rsidR="00B84A11">
        <w:rPr>
          <w:sz w:val="20"/>
          <w:szCs w:val="28"/>
        </w:rPr>
        <w:t xml:space="preserve">нский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743"/>
      <w:bookmarkEnd w:id="3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751"/>
            <w:bookmarkEnd w:id="4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15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024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92019B">
          <w:pgSz w:w="16838" w:h="11905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6638C0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052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54"/>
        <w:gridCol w:w="2041"/>
        <w:gridCol w:w="2552"/>
      </w:tblGrid>
      <w:tr w:rsidR="006A5DA6" w:rsidRPr="006A5DA6" w:rsidTr="006638C0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54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 w:rsidTr="006638C0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4354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6638C0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106"/>
      <w:bookmarkEnd w:id="4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638C0" w:rsidRDefault="006638C0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34A97">
        <w:rPr>
          <w:sz w:val="20"/>
          <w:szCs w:val="28"/>
        </w:rPr>
        <w:t>Кавери</w:t>
      </w:r>
      <w:r>
        <w:rPr>
          <w:sz w:val="20"/>
          <w:szCs w:val="28"/>
        </w:rPr>
        <w:t>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2131"/>
      <w:bookmarkEnd w:id="4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5539"/>
        <w:gridCol w:w="992"/>
      </w:tblGrid>
      <w:tr w:rsidR="006A5DA6" w:rsidRPr="006A5DA6" w:rsidTr="000D257D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</w:tr>
      <w:tr w:rsidR="006A5DA6" w:rsidRPr="006A5DA6" w:rsidTr="000D257D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A5DA6" w:rsidRPr="006A5DA6" w:rsidTr="000D257D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 w:rsidTr="000D257D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 w:rsidTr="000D257D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наступления и достижения значений контрольных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100 процентов и менее - для контрольных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:rsidTr="000D257D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553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2533EC" w:rsidRPr="006A5DA6" w:rsidRDefault="002533EC"/>
    <w:sectPr w:rsidR="002533EC" w:rsidRPr="006A5DA6" w:rsidSect="00431ACD">
      <w:pgSz w:w="11905" w:h="16838"/>
      <w:pgMar w:top="709" w:right="706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FF" w:rsidRDefault="005C00FF" w:rsidP="00630245">
      <w:r>
        <w:separator/>
      </w:r>
    </w:p>
  </w:endnote>
  <w:endnote w:type="continuationSeparator" w:id="0">
    <w:p w:rsidR="005C00FF" w:rsidRDefault="005C00FF" w:rsidP="006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FF" w:rsidRDefault="005C00FF" w:rsidP="00630245">
      <w:r>
        <w:separator/>
      </w:r>
    </w:p>
  </w:footnote>
  <w:footnote w:type="continuationSeparator" w:id="0">
    <w:p w:rsidR="005C00FF" w:rsidRDefault="005C00FF" w:rsidP="0063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678E2"/>
    <w:rsid w:val="000D257D"/>
    <w:rsid w:val="000D5DB3"/>
    <w:rsid w:val="000F012A"/>
    <w:rsid w:val="001621F1"/>
    <w:rsid w:val="001706D7"/>
    <w:rsid w:val="00184259"/>
    <w:rsid w:val="00192813"/>
    <w:rsid w:val="001E581C"/>
    <w:rsid w:val="00213429"/>
    <w:rsid w:val="002533EC"/>
    <w:rsid w:val="002970DB"/>
    <w:rsid w:val="002B49AA"/>
    <w:rsid w:val="002B6BBF"/>
    <w:rsid w:val="002C507C"/>
    <w:rsid w:val="00326E0A"/>
    <w:rsid w:val="0035605F"/>
    <w:rsid w:val="00370433"/>
    <w:rsid w:val="00370819"/>
    <w:rsid w:val="00380D5C"/>
    <w:rsid w:val="003B3300"/>
    <w:rsid w:val="00431ACD"/>
    <w:rsid w:val="004355EE"/>
    <w:rsid w:val="00440A86"/>
    <w:rsid w:val="00440F48"/>
    <w:rsid w:val="00464591"/>
    <w:rsid w:val="0046469C"/>
    <w:rsid w:val="004A4322"/>
    <w:rsid w:val="004C5EBE"/>
    <w:rsid w:val="004D0CB4"/>
    <w:rsid w:val="004D6A54"/>
    <w:rsid w:val="00505828"/>
    <w:rsid w:val="005060FF"/>
    <w:rsid w:val="00517220"/>
    <w:rsid w:val="005305B5"/>
    <w:rsid w:val="0053079F"/>
    <w:rsid w:val="00557E74"/>
    <w:rsid w:val="00580757"/>
    <w:rsid w:val="005C00FF"/>
    <w:rsid w:val="00630245"/>
    <w:rsid w:val="00645629"/>
    <w:rsid w:val="006638C0"/>
    <w:rsid w:val="00671831"/>
    <w:rsid w:val="00685A3D"/>
    <w:rsid w:val="00693D5F"/>
    <w:rsid w:val="006A5C91"/>
    <w:rsid w:val="006A5DA6"/>
    <w:rsid w:val="006B255F"/>
    <w:rsid w:val="006C50F9"/>
    <w:rsid w:val="006E5B54"/>
    <w:rsid w:val="006E7C9C"/>
    <w:rsid w:val="00724842"/>
    <w:rsid w:val="007517B9"/>
    <w:rsid w:val="0075798D"/>
    <w:rsid w:val="007606FB"/>
    <w:rsid w:val="00781F06"/>
    <w:rsid w:val="007C0764"/>
    <w:rsid w:val="007E3570"/>
    <w:rsid w:val="00866F16"/>
    <w:rsid w:val="00873A2F"/>
    <w:rsid w:val="0092019B"/>
    <w:rsid w:val="00934A97"/>
    <w:rsid w:val="0094010E"/>
    <w:rsid w:val="009464BD"/>
    <w:rsid w:val="00954C3A"/>
    <w:rsid w:val="00977C0A"/>
    <w:rsid w:val="00977E70"/>
    <w:rsid w:val="00982236"/>
    <w:rsid w:val="009A4244"/>
    <w:rsid w:val="009A449F"/>
    <w:rsid w:val="00A4490B"/>
    <w:rsid w:val="00A510CA"/>
    <w:rsid w:val="00A73DD6"/>
    <w:rsid w:val="00A7618E"/>
    <w:rsid w:val="00AB69F9"/>
    <w:rsid w:val="00AC1E01"/>
    <w:rsid w:val="00B353C9"/>
    <w:rsid w:val="00B64EE6"/>
    <w:rsid w:val="00B67903"/>
    <w:rsid w:val="00B770E1"/>
    <w:rsid w:val="00B84A11"/>
    <w:rsid w:val="00B961BC"/>
    <w:rsid w:val="00BA4765"/>
    <w:rsid w:val="00BA78A7"/>
    <w:rsid w:val="00BB1000"/>
    <w:rsid w:val="00BC1CB1"/>
    <w:rsid w:val="00BC4988"/>
    <w:rsid w:val="00BD6B06"/>
    <w:rsid w:val="00C445A5"/>
    <w:rsid w:val="00C663CF"/>
    <w:rsid w:val="00C77416"/>
    <w:rsid w:val="00C777B0"/>
    <w:rsid w:val="00CB3F64"/>
    <w:rsid w:val="00CD784A"/>
    <w:rsid w:val="00CE1CF5"/>
    <w:rsid w:val="00D2095C"/>
    <w:rsid w:val="00D318DF"/>
    <w:rsid w:val="00E2294A"/>
    <w:rsid w:val="00E33B5F"/>
    <w:rsid w:val="00EC3D8E"/>
    <w:rsid w:val="00ED2ACB"/>
    <w:rsid w:val="00ED3F32"/>
    <w:rsid w:val="00F13A18"/>
    <w:rsid w:val="00F156F9"/>
    <w:rsid w:val="00F707A8"/>
    <w:rsid w:val="00F76C09"/>
    <w:rsid w:val="00F91436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630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F9143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630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F914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0459D149DBDF36B24232A6715FF26B9613185F377C2305694235D541111DEu1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D244-3AA7-43F7-B010-68A2C2C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2018-10-31T05:49:00Z</cp:lastPrinted>
  <dcterms:created xsi:type="dcterms:W3CDTF">2018-11-02T11:29:00Z</dcterms:created>
  <dcterms:modified xsi:type="dcterms:W3CDTF">2018-11-02T11:29:00Z</dcterms:modified>
</cp:coreProperties>
</file>