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82CF7" w14:textId="7F47DE0C" w:rsidR="00FE40FF" w:rsidRPr="00FE40FF" w:rsidRDefault="00FE40FF" w:rsidP="00FE40FF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</w:pPr>
      <w:r w:rsidRPr="00FE40FF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Информационный материал:</w:t>
      </w:r>
    </w:p>
    <w:p w14:paraId="54519E76" w14:textId="77777777" w:rsidR="008B1A4A" w:rsidRDefault="008B1A4A" w:rsidP="00FE40FF">
      <w:pPr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Валерий Котляров: более 89 млрд рублей поступило в бюджет Липецкой области</w:t>
      </w:r>
    </w:p>
    <w:p w14:paraId="13A12162" w14:textId="79D49371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На расширенной коллегии руководитель УФНС России по Липецкой области Валерий Котляров подвел итоги работы налогового ведомства за 2025 год и обозначил задачи на текущий год.</w:t>
      </w:r>
    </w:p>
    <w:p w14:paraId="056070BD" w14:textId="2E5B262F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В своем выступлении руководитель отметил устойчивый рост поступлений в территориальный бюджет. По итогам прошлого года объем поступлений в территориальный бюджет достиг 89 млрд рублей, что на 7 млрд рублей (или 8%) превышает показатель 2024 года. Сбор страховых взносов составил 84,5 млрд рублей, увеличившись на 16%.</w:t>
      </w:r>
    </w:p>
    <w:p w14:paraId="0CA6BE7C" w14:textId="7B3B55E5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Положительная динамика во многом обеспечена развитием предприятий особой экономической зоны, расположенных в Грязинском и Елецком округах. За четыре года число резидентов выросло с 58 до 68 организаций, а объем поступлений в территориальный бюджет увеличился в три раза — дополнительно 2 млрд 111 млн рублей. В частности, поступления по налогу на прибыль выросли в пять раз, по налогу на доходы физических лиц — в 2,5 раза.</w:t>
      </w:r>
    </w:p>
    <w:p w14:paraId="6414AB39" w14:textId="28EBDAF3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Заметные изменения произошли и в структуре бизнеса. С 2021 года количество индивидуальных предпринимателей в регионе увеличилось на 21% и на начало 2026 года достигло 31 861. В то же время число юридических лиц сократилось на 13 %— до 16 367 компаний. Эта тенденция связана в том числе с последовательной работой по очищению бизнес-среды от недействующих организаций и фирм-однодневок. За четыре года прекратили деятельность 6 387 юридических лиц, причем 78% из них исключены из реестра по решению регистрирующего органа. Кроме того, активно применяются механизмы инициирования уголовной ответственности для граждан, создающих фиктивные компании.</w:t>
      </w:r>
    </w:p>
    <w:p w14:paraId="0C324CC6" w14:textId="40662024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Особое внимание уделяется борьбе с нелегальной занятостью. Управление на системной основе участвует в работе межведомственных комиссий, что позволило дополнительно привлечь в бюджет 68 млн рублей налога на доходы физических лиц и 112 млн рублей страховых взносов.</w:t>
      </w:r>
    </w:p>
    <w:p w14:paraId="2DAD5106" w14:textId="41FA74F8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Результативной остается и контрольная работа. По итогам выездных налоговых проверок в 2025 году доначислено 3,2 млрд рублей в бюджеты всех уровней. Еще 1,4 млрд рублей поступило в результате легализации налоговой базы.</w:t>
      </w:r>
    </w:p>
    <w:p w14:paraId="376B98A6" w14:textId="77F9B750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Важным направлением деятельности Управления остается повышение налоговой грамотности. В прошлом году проведено более 250 образовательных мероприятий для различных категорий граждан, подготовлено свыше 1 380 публикаций в средствах массовой информации и интернет-пространстве.</w:t>
      </w:r>
    </w:p>
    <w:p w14:paraId="6D00FC82" w14:textId="0DC27470" w:rsidR="008B1A4A" w:rsidRPr="008B1A4A" w:rsidRDefault="008B1A4A" w:rsidP="008B1A4A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«Мы стараемся не только дать налогоплательщикам знания, навыки и компетенции, но и сформировать понимание гражданами своих прав и обязанностей в сфере налогообложения. С повышением уровня образования у граждан возрастает </w:t>
      </w: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осознание, что налоги – не просто обязательства перед государством, но и вклад в развитие общества,» - подчеркнул Валерий Котляров.</w:t>
      </w:r>
    </w:p>
    <w:p w14:paraId="5FEA0BFA" w14:textId="59E3E7F5" w:rsidR="00FB3ADA" w:rsidRPr="00FE40FF" w:rsidRDefault="008B1A4A" w:rsidP="008B1A4A">
      <w:pPr>
        <w:jc w:val="both"/>
        <w:rPr>
          <w:sz w:val="26"/>
          <w:szCs w:val="26"/>
        </w:rPr>
      </w:pPr>
      <w:r w:rsidRPr="008B1A4A">
        <w:rPr>
          <w:rFonts w:ascii="Times New Roman" w:hAnsi="Times New Roman" w:cs="Times New Roman"/>
          <w:sz w:val="26"/>
          <w:szCs w:val="26"/>
          <w:shd w:val="clear" w:color="auto" w:fill="FFFFFF"/>
        </w:rPr>
        <w:t>В мероприятии приняли участие губернатор Липецкой области Игорь Артамонов, заместитель председателя Липецкого областного Совета депутатов Владимир Богодухов, главный федеральный инспектор по Липецкой области аппарата полномочного представителя Президента Российской Федерации в Центральном федеральном округе Ирина Провалёнкова, а также представители других ведомств.</w:t>
      </w:r>
    </w:p>
    <w:p w14:paraId="25CC7555" w14:textId="3934E099" w:rsidR="00FE40FF" w:rsidRPr="00FE40FF" w:rsidRDefault="00FE40FF" w:rsidP="00FE40FF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E40F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FE40FF" w:rsidRPr="00FE4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532AF"/>
    <w:multiLevelType w:val="multilevel"/>
    <w:tmpl w:val="2464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23CDC"/>
    <w:multiLevelType w:val="multilevel"/>
    <w:tmpl w:val="F40E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3"/>
  </w:num>
  <w:num w:numId="2" w16cid:durableId="809515124">
    <w:abstractNumId w:val="2"/>
  </w:num>
  <w:num w:numId="3" w16cid:durableId="1468549352">
    <w:abstractNumId w:val="0"/>
  </w:num>
  <w:num w:numId="4" w16cid:durableId="946892365">
    <w:abstractNumId w:val="1"/>
  </w:num>
  <w:num w:numId="5" w16cid:durableId="98837311">
    <w:abstractNumId w:val="6"/>
  </w:num>
  <w:num w:numId="6" w16cid:durableId="1678926916">
    <w:abstractNumId w:val="5"/>
  </w:num>
  <w:num w:numId="7" w16cid:durableId="971057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4469B6"/>
    <w:rsid w:val="004F1002"/>
    <w:rsid w:val="00743C68"/>
    <w:rsid w:val="007B31E0"/>
    <w:rsid w:val="008673EB"/>
    <w:rsid w:val="008B1A4A"/>
    <w:rsid w:val="009070EF"/>
    <w:rsid w:val="00A41D91"/>
    <w:rsid w:val="00A5596E"/>
    <w:rsid w:val="00AE25BF"/>
    <w:rsid w:val="00D705CD"/>
    <w:rsid w:val="00D9080C"/>
    <w:rsid w:val="00EB472B"/>
    <w:rsid w:val="00EF5F90"/>
    <w:rsid w:val="00F5576C"/>
    <w:rsid w:val="00FB3ADA"/>
    <w:rsid w:val="00F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40F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E4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5</cp:revision>
  <dcterms:created xsi:type="dcterms:W3CDTF">2026-01-26T11:39:00Z</dcterms:created>
  <dcterms:modified xsi:type="dcterms:W3CDTF">2026-02-16T14:47:00Z</dcterms:modified>
</cp:coreProperties>
</file>